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导杆组校直装置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>技术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  <w:t>要求</w:t>
      </w:r>
    </w:p>
    <w:p>
      <w:p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一、液压站及油缸主要技术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参数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1、 功率：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15k</w:t>
      </w:r>
      <w:r>
        <w:rPr>
          <w:rFonts w:hint="default" w:ascii="Times New Roman" w:hAnsi="Times New Roman" w:eastAsia="仿宋" w:cs="Times New Roman"/>
          <w:sz w:val="28"/>
          <w:szCs w:val="28"/>
        </w:rPr>
        <w:t>W  n=14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0r/min  立式液压站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2、 油箱容积：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28"/>
          <w:szCs w:val="28"/>
        </w:rPr>
        <w:t>0L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3、 冷却方式：风冷却50-60W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4、 液压工作压力： P=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28"/>
          <w:szCs w:val="28"/>
        </w:rPr>
        <w:t>MPa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5、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液压系统最大流量： Q=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28"/>
          <w:szCs w:val="28"/>
        </w:rPr>
        <w:t>L/min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6、 </w:t>
      </w:r>
      <w:r>
        <w:rPr>
          <w:rFonts w:hint="eastAsia" w:ascii="Times New Roman" w:hAnsi="Times New Roman" w:eastAsia="仿宋" w:cs="Times New Roman"/>
          <w:sz w:val="28"/>
          <w:szCs w:val="28"/>
        </w:rPr>
        <w:t>液压油缸（含液压锁）规格：Ф110/Ф80-880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7、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液压阀：工作电压24V  38W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8、 起升时间： t=20-30min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9、 工作油温：15-50℃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10、 系统特点：结构紧凑  低能耗  低故障率  无泄漏</w:t>
      </w:r>
    </w:p>
    <w:p>
      <w:pPr>
        <w:pStyle w:val="2"/>
        <w:jc w:val="left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6"/>
          <w:szCs w:val="36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7"/>
        <w:tblW w:w="88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969"/>
        <w:gridCol w:w="970"/>
        <w:gridCol w:w="2134"/>
        <w:gridCol w:w="2408"/>
        <w:gridCol w:w="593"/>
        <w:gridCol w:w="59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桁架系统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部件名称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主要技术参数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产品描述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双边X轴机器人桁架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有效行程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X轴≥22m，行走速度1m/s，23米总长  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1、具备适应工作现场工况条件，实现上下工件自动化，重复定位精度≤1mm。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2、桁架本体矩型钢下料及焊接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3、消除内应力时效处理-震动时效、2次高温回火时效。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4、精密数控龙门铣-粗加工、精加工。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5、表面油漆处理-打砂、除锈、烤漆。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6、双边X轴机器人桁架、Y轴机器人桁架德国BBOSIICH：斜齿4模齿条，滚轮导轨。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7、Z轴机器人桁架德国BBOSIICH：斜齿3模齿条，台湾上银：导轨 35#。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8、 斜齿：4模齿条，选用国际知名品牌。9、导轨：35#，选用国际知名品牌。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Y轴机器人桁架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Y轴≥6m，行走速度1m/s，8米总长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Z轴机器人桁架</w:t>
            </w: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Z轴≥2m，行走速度0.5m/s，3米总长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行走滑台组件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1、机器人移动平台。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2、台湾上银导轨滑块：45#、滚轮组件。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3、地轨两头封头板/减速机安装板及配件。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4、齿条注油毛毡轮。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5、4模研磨齿轮。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6、导轨齿条供油泵、注油分配器、铜管等。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7、齿轮顶板终端减震器/橡胶缓冲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上料系统</w:t>
            </w: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几何尺寸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上料机构 输送电机2KW，工作台4000mm*2500mm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人工上料后实现自动输送、空车自动退回，具备工件定位功能。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机械结构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/>
              </w:rPr>
              <w:t>负载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Style w:val="17"/>
                <w:sz w:val="21"/>
                <w:szCs w:val="21"/>
                <w:lang w:val="en-US" w:eastAsia="zh-CN"/>
              </w:rPr>
              <w:t>吨；伺服电机驱动；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/>
              </w:rPr>
              <w:t>额定功率：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3KW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/>
              </w:rPr>
              <w:t>额定电压：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AC 380V/</w:t>
            </w:r>
            <w:r>
              <w:rPr>
                <w:rStyle w:val="17"/>
                <w:sz w:val="21"/>
                <w:szCs w:val="21"/>
                <w:lang w:val="en-US" w:eastAsia="zh-CN"/>
              </w:rPr>
              <w:t>三相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/>
              </w:rPr>
              <w:t>轴径：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42mm‌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/>
              </w:rPr>
              <w:t>防护等级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‌</w:t>
            </w:r>
            <w:r>
              <w:rPr>
                <w:rStyle w:val="17"/>
                <w:sz w:val="21"/>
                <w:szCs w:val="21"/>
                <w:lang w:val="en-US" w:eastAsia="zh-CN"/>
              </w:rPr>
              <w:t>：通常为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IP65</w:t>
            </w:r>
            <w:r>
              <w:rPr>
                <w:rStyle w:val="17"/>
                <w:sz w:val="21"/>
                <w:szCs w:val="21"/>
                <w:lang w:val="en-US" w:eastAsia="zh-CN"/>
              </w:rPr>
              <w:t>（防尘防水）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‌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/>
              </w:rPr>
              <w:t>编码器类型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‌</w:t>
            </w:r>
            <w:r>
              <w:rPr>
                <w:rStyle w:val="17"/>
                <w:sz w:val="21"/>
                <w:szCs w:val="21"/>
                <w:lang w:val="en-US" w:eastAsia="zh-CN"/>
              </w:rPr>
              <w:t>：增量式（</w:t>
            </w:r>
            <w:r>
              <w:rPr>
                <w:rStyle w:val="18"/>
                <w:rFonts w:eastAsia="宋体"/>
                <w:sz w:val="21"/>
                <w:szCs w:val="21"/>
                <w:lang w:val="en-US" w:eastAsia="zh-CN"/>
              </w:rPr>
              <w:t>17bit~24bit</w:t>
            </w:r>
            <w:r>
              <w:rPr>
                <w:rStyle w:val="17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下料系统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几何尺寸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上料机构 输送电机2KW，工作台4000mm*2500mm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人工上料后实现自动输送、空车自动退回，具备工件定位功能。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机械结构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负载1吨；伺服电机驱动；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额定功率：3KW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额定电压：AC 380V/三相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轴径：42mm‌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防护等级‌：通常为IP65（防尘防水）‌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编码器类型‌：增量式（17bit~24bit）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支撑立柱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sz w:val="21"/>
                <w:szCs w:val="21"/>
                <w:lang w:val="en-US" w:eastAsia="zh-CN"/>
              </w:rPr>
              <w:t>高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Style w:val="19"/>
                <w:sz w:val="21"/>
                <w:szCs w:val="21"/>
                <w:lang w:val="en-US" w:eastAsia="zh-CN"/>
              </w:rPr>
              <w:t>米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19"/>
                <w:sz w:val="21"/>
                <w:szCs w:val="21"/>
                <w:lang w:val="en-US" w:eastAsia="zh-CN"/>
              </w:rPr>
              <w:t>矩型钢下料及焊接、打砂、除锈、烤漆，调节地脚板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1、矩形钢，壁厚≥8mm,2次高温回火消除内应力。2、表面除锈、烤漆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精密行星斜齿减速机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sz w:val="21"/>
                <w:szCs w:val="21"/>
                <w:lang w:val="en-US" w:eastAsia="zh-CN"/>
              </w:rPr>
              <w:t>卓蓝型号：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 xml:space="preserve">140 </w:t>
            </w:r>
            <w:r>
              <w:rPr>
                <w:rStyle w:val="19"/>
                <w:sz w:val="21"/>
                <w:szCs w:val="21"/>
                <w:lang w:val="en-US" w:eastAsia="zh-CN"/>
              </w:rPr>
              <w:t>比数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>1/10</w:t>
            </w:r>
            <w:r>
              <w:rPr>
                <w:rStyle w:val="19"/>
                <w:sz w:val="21"/>
                <w:szCs w:val="21"/>
                <w:lang w:val="en-US" w:eastAsia="zh-CN"/>
              </w:rPr>
              <w:t>比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 xml:space="preserve">(X </w:t>
            </w:r>
            <w:r>
              <w:rPr>
                <w:rStyle w:val="19"/>
                <w:sz w:val="21"/>
                <w:szCs w:val="21"/>
                <w:lang w:val="en-US" w:eastAsia="zh-CN"/>
              </w:rPr>
              <w:t>轴）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精密行星斜齿减速机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sz w:val="21"/>
                <w:szCs w:val="21"/>
                <w:lang w:val="en-US" w:eastAsia="zh-CN"/>
              </w:rPr>
              <w:t>卓蓝型号：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 xml:space="preserve">180 </w:t>
            </w:r>
            <w:r>
              <w:rPr>
                <w:rStyle w:val="19"/>
                <w:sz w:val="21"/>
                <w:szCs w:val="21"/>
                <w:lang w:val="en-US" w:eastAsia="zh-CN"/>
              </w:rPr>
              <w:t>比数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>1/20</w:t>
            </w:r>
            <w:r>
              <w:rPr>
                <w:rStyle w:val="19"/>
                <w:sz w:val="21"/>
                <w:szCs w:val="21"/>
                <w:lang w:val="en-US" w:eastAsia="zh-CN"/>
              </w:rPr>
              <w:t>比</w:t>
            </w:r>
            <w:r>
              <w:rPr>
                <w:rStyle w:val="20"/>
                <w:rFonts w:eastAsia="宋体"/>
                <w:sz w:val="21"/>
                <w:szCs w:val="21"/>
                <w:lang w:val="en-US" w:eastAsia="zh-CN"/>
              </w:rPr>
              <w:t>(X  Y</w:t>
            </w:r>
            <w:r>
              <w:rPr>
                <w:rStyle w:val="19"/>
                <w:sz w:val="21"/>
                <w:szCs w:val="21"/>
                <w:lang w:val="en-US" w:eastAsia="zh-CN"/>
              </w:rPr>
              <w:t>轴）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精密行星斜齿减速机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卓蓝涡轮蜗杆减速机242（Z轴）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抓手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抓取重量≥1T，抓取最大宽度≥250mm。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扫码系统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工业读码器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像素2448*2048;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LED补光;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以太网、串口通讯接口;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工作温度-10-50℃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防护等级IP65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二维码打印机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打印方式：热敏/热转印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通讯接口:USB*1、以太网*1、RS232串口*1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附：相关技术参数                                                                                                                                         技术参数：X轴总23米，有效行程≥22米；Y轴总8米，有效行程≥6.5米；Z轴总长3米，有效行程≥2米；Z轴负重1200KG以下；行走速度：X轴1m/s，Y轴1m/s，Z轴0.5m/s；重复定位精度：±3mm。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Times New Roman" w:hAnsi="Times New Roman" w:eastAsia="宋体"/>
          <w:b w:val="0"/>
          <w:color w:val="000000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/>
          <w:b w:val="0"/>
          <w:color w:val="000000"/>
          <w:sz w:val="21"/>
          <w:szCs w:val="21"/>
        </w:rPr>
        <w:t>PLC控制柜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86"/>
        <w:gridCol w:w="1415"/>
        <w:gridCol w:w="2976"/>
        <w:gridCol w:w="904"/>
        <w:gridCol w:w="66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  <w:t>设备名称</w:t>
            </w:r>
          </w:p>
        </w:tc>
        <w:tc>
          <w:tcPr>
            <w:tcW w:w="5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元器件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参数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b w:val="0"/>
                <w:color w:val="000000"/>
                <w:sz w:val="21"/>
                <w:szCs w:val="21"/>
              </w:rPr>
              <w:t>PLC控制柜（</w:t>
            </w:r>
            <w:r>
              <w:rPr>
                <w:rFonts w:hint="eastAsia" w:ascii="Times New Roman" w:hAnsi="Times New Roman" w:eastAsia="宋体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/>
                <w:b w:val="0"/>
                <w:color w:val="000000"/>
                <w:sz w:val="21"/>
                <w:szCs w:val="21"/>
              </w:rPr>
              <w:t>套）</w:t>
            </w: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PLC柜体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PLC柜体采用冷轧钢板，厚度≥2mm，静电喷塑，防护等级 IP54，色标 RAL7035。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CPU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6ES7 515-2AM00-0AB0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开关量模块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6ES7 521-1BH00-0AB0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电源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6ES7 1332-4BA00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存储卡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6ES7 954-8LE03-0AA0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导轨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6ES7 590-1AE08-0AA0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断路器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220VAC  10A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断路器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1P+N  220VAC  25A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工业交换机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220VAC，4光口，8电口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中间继电器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电压220VAC，2对触点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浪涌保护器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20KA 2P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施耐德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接线端子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UT2.5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菲尼克斯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电源模块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导轨电源10A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加热器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220VAC  130W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国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温控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+5-55℃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风扇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220VAC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照明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220VAC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程序开发及服务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套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包括PLC程序和上HMI程序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动力电缆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YJV-0.6/1.0kV-4*4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150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动力电缆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YJV-0.6/1.0kV-3*25+1*16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动力电缆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YJV-0.6/1.0kV-2*4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动力电缆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YJV-0.6/1.0kV-3*4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动力电缆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YJV-0.6/1.0kV-3*6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控制电缆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KVVP-0.45、0.75kV-2*2.5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控制电缆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KVVP-0.45、0.75kV-12*2.5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控制电缆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KVVP-0.45、0.75kV-4*2.5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控制电缆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KVVP-0.45、0.75kV-7*2.5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光缆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室外单模4芯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电缆桥架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200*100、2.0mm厚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线缆保护管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DN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米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500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热镀锌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触摸屏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Cs w:val="21"/>
                <w:lang w:val="en-US" w:eastAsia="zh-CN"/>
              </w:rPr>
              <w:t>MP227  TOUCH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台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pStyle w:val="2"/>
              <w:jc w:val="center"/>
              <w:rPr>
                <w:rFonts w:hint="default" w:ascii="Times New Roman" w:hAnsi="Times New Roman" w:eastAsia="宋体"/>
                <w:b w:val="0"/>
                <w:sz w:val="21"/>
                <w:szCs w:val="21"/>
              </w:rPr>
            </w:pPr>
          </w:p>
        </w:tc>
        <w:tc>
          <w:tcPr>
            <w:tcW w:w="586" w:type="dxa"/>
          </w:tcPr>
          <w:p>
            <w:pPr>
              <w:pStyle w:val="2"/>
              <w:jc w:val="center"/>
              <w:rPr>
                <w:rFonts w:hint="eastAsia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 w:val="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指示灯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Cs w:val="21"/>
                <w:lang w:val="en-US" w:eastAsia="zh-CN"/>
              </w:rPr>
              <w:t>XB2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系列</w:t>
            </w:r>
          </w:p>
        </w:tc>
        <w:tc>
          <w:tcPr>
            <w:tcW w:w="9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Cs w:val="21"/>
                <w:lang w:val="en-US" w:eastAsia="zh-CN"/>
              </w:rPr>
              <w:t>16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施耐德</w:t>
            </w:r>
          </w:p>
        </w:tc>
      </w:tr>
    </w:tbl>
    <w:p>
      <w:pPr>
        <w:bidi w:val="0"/>
        <w:jc w:val="left"/>
        <w:rPr>
          <w:rFonts w:hint="default" w:ascii="Calibri" w:hAnsi="Calibri" w:eastAsia="宋体" w:cs="Arial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277D98"/>
    <w:rsid w:val="21B87D4C"/>
    <w:rsid w:val="4DD47679"/>
    <w:rsid w:val="77CE6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37"/>
      <w:outlineLvl w:val="0"/>
    </w:pPr>
    <w:rPr>
      <w:rFonts w:ascii="宋体" w:hAnsi="宋体" w:eastAsia="宋体"/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b/>
      <w:sz w:val="21"/>
      <w:lang w:val="en-US" w:eastAsia="zh-CN" w:bidi="ar-SA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  <w:kern w:val="0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jc w:val="right"/>
    </w:pPr>
    <w:rPr>
      <w:rFonts w:hint="eastAsia" w:ascii="宋体"/>
      <w:b/>
      <w:kern w:val="0"/>
      <w:sz w:val="28"/>
      <w:szCs w:val="20"/>
    </w:rPr>
  </w:style>
  <w:style w:type="paragraph" w:styleId="6">
    <w:name w:val="Body Text"/>
    <w:basedOn w:val="1"/>
    <w:qFormat/>
    <w:uiPriority w:val="1"/>
    <w:pPr>
      <w:ind w:left="137"/>
    </w:pPr>
    <w:rPr>
      <w:rFonts w:ascii="宋体" w:hAnsi="宋体" w:eastAsia="宋体"/>
      <w:sz w:val="24"/>
      <w:szCs w:val="24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7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1575</Words>
  <Characters>2239</Characters>
  <Paragraphs>445</Paragraphs>
  <TotalTime>0</TotalTime>
  <ScaleCrop>false</ScaleCrop>
  <LinksUpToDate>false</LinksUpToDate>
  <CharactersWithSpaces>2476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2024-06-20T04:42:00Z</dcterms:created>
  <dc:creator>V2133A</dc:creator>
  <cp:lastModifiedBy>DELL</cp:lastModifiedBy>
  <cp:lastPrinted>2025-09-22T04:13:00Z</cp:lastPrinted>
  <dcterms:modified xsi:type="dcterms:W3CDTF">2025-10-21T03:33:19Z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3c3b93eebf4b4ac38c441267f5361fb5_23</vt:lpwstr>
  </property>
  <property fmtid="{D5CDD505-2E9C-101B-9397-08002B2CF9AE}" pid="3" name="KSOProductBuildVer">
    <vt:lpwstr>2052-11.8.2.12085</vt:lpwstr>
  </property>
</Properties>
</file>